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817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7"/>
      </w:tblGrid>
      <w:tr w14:paraId="6DA67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8177" w:type="dxa"/>
            <w:vAlign w:val="center"/>
          </w:tcPr>
          <w:p w14:paraId="0FB86E75">
            <w:pPr>
              <w:spacing w:line="360" w:lineRule="auto"/>
              <w:jc w:val="center"/>
              <w:rPr>
                <w:rFonts w:eastAsia="黑体"/>
                <w:spacing w:val="20"/>
                <w:sz w:val="32"/>
                <w:szCs w:val="32"/>
              </w:rPr>
            </w:pPr>
            <w:r>
              <w:rPr>
                <w:rFonts w:hint="eastAsia" w:eastAsia="黑体"/>
                <w:spacing w:val="20"/>
                <w:sz w:val="32"/>
              </w:rPr>
              <w:t>中国核学会</w:t>
            </w:r>
            <w:r>
              <w:rPr>
                <w:rFonts w:eastAsia="黑体"/>
                <w:spacing w:val="20"/>
                <w:sz w:val="32"/>
              </w:rPr>
              <w:t>标准</w:t>
            </w:r>
          </w:p>
        </w:tc>
      </w:tr>
      <w:tr w14:paraId="1DF46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atLeast"/>
          <w:jc w:val="center"/>
        </w:trPr>
        <w:tc>
          <w:tcPr>
            <w:tcW w:w="8177" w:type="dxa"/>
            <w:vAlign w:val="center"/>
          </w:tcPr>
          <w:p w14:paraId="3609CF8E">
            <w:pPr>
              <w:spacing w:line="720" w:lineRule="auto"/>
              <w:jc w:val="center"/>
              <w:rPr>
                <w:rFonts w:eastAsia="黑体" w:cs="黑体"/>
                <w:spacing w:val="20"/>
                <w:sz w:val="44"/>
                <w:szCs w:val="44"/>
              </w:rPr>
            </w:pPr>
            <w:r>
              <w:rPr>
                <w:rFonts w:hint="eastAsia" w:eastAsia="黑体" w:cs="黑体"/>
                <w:spacing w:val="20"/>
                <w:sz w:val="44"/>
                <w:szCs w:val="44"/>
              </w:rPr>
              <w:t>高温气冷堆核动力厂</w:t>
            </w:r>
          </w:p>
          <w:p w14:paraId="2C3C6A28">
            <w:pPr>
              <w:spacing w:line="720" w:lineRule="auto"/>
              <w:jc w:val="center"/>
              <w:rPr>
                <w:rFonts w:eastAsia="黑体" w:cs="黑体"/>
                <w:spacing w:val="20"/>
                <w:sz w:val="44"/>
                <w:szCs w:val="44"/>
              </w:rPr>
            </w:pPr>
            <w:r>
              <w:rPr>
                <w:rFonts w:hint="eastAsia" w:eastAsia="黑体" w:cs="黑体"/>
                <w:spacing w:val="20"/>
                <w:sz w:val="44"/>
                <w:szCs w:val="44"/>
              </w:rPr>
              <w:t>反射层石墨材料技术要求</w:t>
            </w:r>
          </w:p>
          <w:p w14:paraId="569D3F3C">
            <w:pPr>
              <w:spacing w:line="720" w:lineRule="auto"/>
              <w:jc w:val="center"/>
              <w:rPr>
                <w:rFonts w:eastAsia="黑体"/>
                <w:spacing w:val="20"/>
                <w:sz w:val="44"/>
                <w:szCs w:val="44"/>
              </w:rPr>
            </w:pPr>
            <w:r>
              <w:rPr>
                <w:rFonts w:hint="eastAsia" w:eastAsia="黑体" w:cs="黑体"/>
                <w:spacing w:val="20"/>
                <w:sz w:val="44"/>
                <w:szCs w:val="44"/>
              </w:rPr>
              <w:t>（征求意见稿）</w:t>
            </w:r>
          </w:p>
        </w:tc>
      </w:tr>
      <w:tr w14:paraId="3BF093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atLeast"/>
          <w:jc w:val="center"/>
        </w:trPr>
        <w:tc>
          <w:tcPr>
            <w:tcW w:w="8177" w:type="dxa"/>
            <w:vAlign w:val="center"/>
          </w:tcPr>
          <w:p w14:paraId="2DD01FED">
            <w:pPr>
              <w:spacing w:line="360" w:lineRule="auto"/>
              <w:jc w:val="center"/>
              <w:rPr>
                <w:rFonts w:eastAsia="黑体"/>
                <w:spacing w:val="20"/>
                <w:sz w:val="44"/>
                <w:szCs w:val="44"/>
              </w:rPr>
            </w:pPr>
            <w:r>
              <w:rPr>
                <w:rFonts w:hint="eastAsia" w:eastAsia="黑体"/>
                <w:spacing w:val="20"/>
                <w:sz w:val="44"/>
                <w:szCs w:val="32"/>
              </w:rPr>
              <w:t>编制说明</w:t>
            </w:r>
          </w:p>
        </w:tc>
      </w:tr>
      <w:tr w14:paraId="122E43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8177" w:type="dxa"/>
            <w:vAlign w:val="center"/>
          </w:tcPr>
          <w:p w14:paraId="4EF56156">
            <w:pPr>
              <w:spacing w:line="360" w:lineRule="auto"/>
              <w:jc w:val="center"/>
              <w:rPr>
                <w:rFonts w:eastAsia="黑体"/>
                <w:color w:val="0070C0"/>
                <w:spacing w:val="20"/>
                <w:sz w:val="32"/>
              </w:rPr>
            </w:pPr>
            <w:r>
              <w:rPr>
                <w:rFonts w:eastAsia="黑体"/>
                <w:color w:val="0070C0"/>
                <w:spacing w:val="20"/>
                <w:sz w:val="32"/>
              </w:rPr>
              <w:t>清华大学核能与新能源技术研究院</w:t>
            </w:r>
          </w:p>
          <w:p w14:paraId="36B81488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pacing w:val="20"/>
                <w:sz w:val="32"/>
              </w:rPr>
              <w:t>20</w:t>
            </w:r>
            <w:r>
              <w:rPr>
                <w:rFonts w:hint="eastAsia" w:eastAsia="黑体"/>
                <w:spacing w:val="20"/>
                <w:sz w:val="32"/>
              </w:rPr>
              <w:t>26年7月</w:t>
            </w:r>
          </w:p>
        </w:tc>
      </w:tr>
    </w:tbl>
    <w:p w14:paraId="486A32D6">
      <w:pPr>
        <w:snapToGrid w:val="0"/>
        <w:jc w:val="center"/>
        <w:rPr>
          <w:rFonts w:ascii="黑体" w:eastAsia="黑体"/>
          <w:spacing w:val="20"/>
          <w:sz w:val="30"/>
          <w:szCs w:val="3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44A1A61">
      <w:pPr>
        <w:snapToGrid w:val="0"/>
        <w:jc w:val="center"/>
        <w:rPr>
          <w:rFonts w:ascii="黑体" w:eastAsia="黑体"/>
          <w:spacing w:val="20"/>
          <w:sz w:val="30"/>
          <w:szCs w:val="30"/>
        </w:rPr>
      </w:pPr>
    </w:p>
    <w:p w14:paraId="10C500EE">
      <w:pPr>
        <w:snapToGrid w:val="0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pacing w:val="20"/>
          <w:sz w:val="32"/>
          <w:szCs w:val="30"/>
        </w:rPr>
        <w:t>高温气冷堆核动力厂反射层石墨材料技术要求</w:t>
      </w:r>
    </w:p>
    <w:p w14:paraId="3525292A">
      <w:pPr>
        <w:numPr>
          <w:ilvl w:val="0"/>
          <w:numId w:val="1"/>
        </w:numPr>
        <w:spacing w:before="240" w:after="240"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任务来源及计划要求</w:t>
      </w:r>
    </w:p>
    <w:p w14:paraId="3BDFA1F1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kern w:val="0"/>
          <w:sz w:val="24"/>
        </w:rPr>
      </w:pPr>
      <w:r>
        <w:rPr>
          <w:rFonts w:ascii="宋体" w:hAnsi="宋体"/>
          <w:color w:val="000000" w:themeColor="text1"/>
          <w:kern w:val="0"/>
          <w:sz w:val="24"/>
          <w:lang w:val="zh-CN"/>
        </w:rPr>
        <w:t>本标准</w:t>
      </w:r>
      <w:r>
        <w:rPr>
          <w:rFonts w:hint="eastAsia" w:ascii="宋体" w:hAnsi="宋体"/>
          <w:color w:val="000000" w:themeColor="text1"/>
          <w:kern w:val="0"/>
          <w:sz w:val="24"/>
          <w:lang w:val="zh-CN"/>
        </w:rPr>
        <w:t>制修订</w:t>
      </w:r>
      <w:r>
        <w:rPr>
          <w:rFonts w:ascii="宋体" w:hAnsi="宋体"/>
          <w:color w:val="000000" w:themeColor="text1"/>
          <w:kern w:val="0"/>
          <w:sz w:val="24"/>
          <w:lang w:val="zh-CN"/>
        </w:rPr>
        <w:t>任务由</w:t>
      </w:r>
      <w:r>
        <w:rPr>
          <w:rFonts w:hint="eastAsia" w:ascii="宋体" w:hAnsi="宋体"/>
          <w:color w:val="000000" w:themeColor="text1"/>
          <w:kern w:val="0"/>
          <w:sz w:val="24"/>
          <w:lang w:val="zh-CN"/>
        </w:rPr>
        <w:t>中国核学会《关于下达202</w:t>
      </w:r>
      <w:r>
        <w:rPr>
          <w:rFonts w:hint="eastAsia" w:ascii="宋体" w:hAnsi="宋体"/>
          <w:color w:val="000000" w:themeColor="text1"/>
          <w:kern w:val="0"/>
          <w:sz w:val="24"/>
        </w:rPr>
        <w:t>6</w:t>
      </w:r>
      <w:r>
        <w:rPr>
          <w:rFonts w:hint="eastAsia" w:ascii="宋体" w:hAnsi="宋体"/>
          <w:color w:val="000000" w:themeColor="text1"/>
          <w:kern w:val="0"/>
          <w:sz w:val="24"/>
          <w:lang w:val="zh-CN"/>
        </w:rPr>
        <w:t>年度第</w:t>
      </w:r>
      <w:r>
        <w:rPr>
          <w:rFonts w:hint="eastAsia" w:ascii="宋体" w:hAnsi="宋体"/>
          <w:color w:val="000000" w:themeColor="text1"/>
          <w:kern w:val="0"/>
          <w:sz w:val="24"/>
        </w:rPr>
        <w:t>二</w:t>
      </w:r>
      <w:r>
        <w:rPr>
          <w:rFonts w:hint="eastAsia" w:ascii="宋体" w:hAnsi="宋体"/>
          <w:color w:val="000000" w:themeColor="text1"/>
          <w:kern w:val="0"/>
          <w:sz w:val="24"/>
          <w:lang w:val="zh-CN"/>
        </w:rPr>
        <w:t>批核学会团体标准立项计划的通知》（中核学发【202</w:t>
      </w:r>
      <w:r>
        <w:rPr>
          <w:rFonts w:hint="eastAsia" w:ascii="宋体" w:hAnsi="宋体"/>
          <w:color w:val="000000" w:themeColor="text1"/>
          <w:kern w:val="0"/>
          <w:sz w:val="24"/>
        </w:rPr>
        <w:t>6</w:t>
      </w:r>
      <w:r>
        <w:rPr>
          <w:rFonts w:hint="eastAsia" w:ascii="宋体" w:hAnsi="宋体"/>
          <w:color w:val="000000" w:themeColor="text1"/>
          <w:kern w:val="0"/>
          <w:sz w:val="24"/>
          <w:lang w:val="zh-CN"/>
        </w:rPr>
        <w:t>】</w:t>
      </w:r>
      <w:r>
        <w:rPr>
          <w:rFonts w:hint="eastAsia" w:ascii="宋体" w:hAnsi="宋体"/>
          <w:color w:val="000000" w:themeColor="text1"/>
          <w:kern w:val="0"/>
          <w:sz w:val="24"/>
        </w:rPr>
        <w:t>115</w:t>
      </w:r>
      <w:r>
        <w:rPr>
          <w:rFonts w:hint="eastAsia" w:ascii="宋体" w:hAnsi="宋体"/>
          <w:color w:val="000000" w:themeColor="text1"/>
          <w:kern w:val="0"/>
          <w:sz w:val="24"/>
          <w:lang w:val="zh-CN"/>
        </w:rPr>
        <w:t>号）</w:t>
      </w:r>
      <w:r>
        <w:rPr>
          <w:rFonts w:ascii="宋体" w:hAnsi="宋体"/>
          <w:color w:val="000000" w:themeColor="text1"/>
          <w:kern w:val="0"/>
          <w:sz w:val="24"/>
          <w:lang w:val="zh-CN"/>
        </w:rPr>
        <w:t>，</w:t>
      </w:r>
      <w:r>
        <w:rPr>
          <w:rFonts w:hint="eastAsia" w:ascii="宋体" w:hAnsi="宋体"/>
          <w:color w:val="000000" w:themeColor="text1"/>
          <w:kern w:val="0"/>
          <w:sz w:val="24"/>
          <w:lang w:val="zh-CN"/>
        </w:rPr>
        <w:t>计划</w:t>
      </w:r>
      <w:r>
        <w:rPr>
          <w:rFonts w:ascii="宋体" w:hAnsi="宋体"/>
          <w:color w:val="000000" w:themeColor="text1"/>
          <w:kern w:val="0"/>
          <w:sz w:val="24"/>
          <w:lang w:val="zh-CN"/>
        </w:rPr>
        <w:t>编号</w:t>
      </w:r>
      <w:r>
        <w:rPr>
          <w:rFonts w:ascii="宋体" w:hAnsi="宋体"/>
          <w:color w:val="000000" w:themeColor="text1"/>
          <w:kern w:val="0"/>
          <w:sz w:val="24"/>
        </w:rPr>
        <w:t>为</w:t>
      </w:r>
      <w:r>
        <w:rPr>
          <w:rFonts w:hint="eastAsia" w:ascii="宋体" w:hAnsi="宋体"/>
          <w:color w:val="000000" w:themeColor="text1"/>
          <w:kern w:val="0"/>
          <w:sz w:val="24"/>
        </w:rPr>
        <w:t>HTB2026</w:t>
      </w:r>
      <w:r>
        <w:rPr>
          <w:rFonts w:ascii="宋体" w:hAnsi="宋体"/>
          <w:color w:val="000000" w:themeColor="text1"/>
          <w:kern w:val="0"/>
          <w:sz w:val="24"/>
        </w:rPr>
        <w:t>015，</w:t>
      </w:r>
      <w:r>
        <w:rPr>
          <w:rFonts w:hint="eastAsia" w:ascii="宋体" w:hAnsi="宋体"/>
          <w:color w:val="000000" w:themeColor="text1"/>
          <w:kern w:val="0"/>
          <w:sz w:val="24"/>
        </w:rPr>
        <w:t>标准计划名称为《</w:t>
      </w:r>
      <w:r>
        <w:rPr>
          <w:rFonts w:ascii="宋体" w:hAnsi="宋体"/>
          <w:color w:val="000000" w:themeColor="text1"/>
          <w:kern w:val="0"/>
          <w:sz w:val="24"/>
        </w:rPr>
        <w:t>高温气冷堆核动力厂反射层石墨材料技术要求</w:t>
      </w:r>
      <w:r>
        <w:rPr>
          <w:rFonts w:hint="eastAsia" w:ascii="宋体" w:hAnsi="宋体"/>
          <w:color w:val="000000" w:themeColor="text1"/>
          <w:kern w:val="0"/>
          <w:sz w:val="24"/>
        </w:rPr>
        <w:t>》，</w:t>
      </w:r>
      <w:r>
        <w:rPr>
          <w:rFonts w:ascii="宋体" w:hAnsi="宋体"/>
          <w:color w:val="000000" w:themeColor="text1"/>
          <w:kern w:val="0"/>
          <w:sz w:val="24"/>
        </w:rPr>
        <w:t>由清华大学核能与新能源技术研究院</w:t>
      </w:r>
      <w:r>
        <w:rPr>
          <w:rFonts w:hint="eastAsia" w:ascii="宋体" w:hAnsi="宋体"/>
          <w:color w:val="000000" w:themeColor="text1"/>
          <w:kern w:val="0"/>
          <w:sz w:val="24"/>
        </w:rPr>
        <w:t>、</w:t>
      </w:r>
      <w:r>
        <w:rPr>
          <w:rFonts w:ascii="宋体" w:hAnsi="宋体"/>
          <w:color w:val="000000" w:themeColor="text1"/>
          <w:kern w:val="0"/>
          <w:sz w:val="24"/>
        </w:rPr>
        <w:t>中核能源科技有限公司</w:t>
      </w:r>
      <w:r>
        <w:rPr>
          <w:rFonts w:hint="eastAsia" w:ascii="宋体" w:hAnsi="宋体"/>
          <w:color w:val="000000" w:themeColor="text1"/>
          <w:kern w:val="0"/>
          <w:sz w:val="24"/>
        </w:rPr>
        <w:t>起草</w:t>
      </w:r>
      <w:r>
        <w:rPr>
          <w:rFonts w:ascii="宋体" w:hAnsi="宋体"/>
          <w:color w:val="000000" w:themeColor="text1"/>
          <w:kern w:val="0"/>
          <w:sz w:val="24"/>
        </w:rPr>
        <w:t>，</w:t>
      </w:r>
      <w:r>
        <w:rPr>
          <w:rFonts w:hint="eastAsia" w:ascii="宋体" w:hAnsi="宋体"/>
          <w:color w:val="000000" w:themeColor="text1"/>
          <w:kern w:val="0"/>
          <w:sz w:val="24"/>
        </w:rPr>
        <w:t>要求</w:t>
      </w:r>
      <w:r>
        <w:rPr>
          <w:rFonts w:ascii="宋体" w:hAnsi="宋体"/>
          <w:color w:val="000000" w:themeColor="text1"/>
          <w:kern w:val="0"/>
          <w:sz w:val="24"/>
        </w:rPr>
        <w:t>于20</w:t>
      </w:r>
      <w:r>
        <w:rPr>
          <w:rFonts w:hint="eastAsia" w:ascii="宋体" w:hAnsi="宋体"/>
          <w:color w:val="000000" w:themeColor="text1"/>
          <w:kern w:val="0"/>
          <w:sz w:val="24"/>
        </w:rPr>
        <w:t>26</w:t>
      </w:r>
      <w:r>
        <w:rPr>
          <w:rFonts w:ascii="宋体" w:hAnsi="宋体"/>
          <w:color w:val="000000" w:themeColor="text1"/>
          <w:kern w:val="0"/>
          <w:sz w:val="24"/>
        </w:rPr>
        <w:t>年</w:t>
      </w:r>
      <w:r>
        <w:rPr>
          <w:rFonts w:hint="eastAsia" w:ascii="宋体" w:hAnsi="宋体"/>
          <w:color w:val="000000" w:themeColor="text1"/>
          <w:kern w:val="0"/>
          <w:sz w:val="24"/>
        </w:rPr>
        <w:t>12</w:t>
      </w:r>
      <w:r>
        <w:rPr>
          <w:rFonts w:ascii="宋体" w:hAnsi="宋体"/>
          <w:color w:val="000000" w:themeColor="text1"/>
          <w:kern w:val="0"/>
          <w:sz w:val="24"/>
        </w:rPr>
        <w:t>月完成</w:t>
      </w:r>
      <w:r>
        <w:rPr>
          <w:rFonts w:hint="eastAsia" w:ascii="宋体" w:hAnsi="宋体"/>
          <w:color w:val="000000" w:themeColor="text1"/>
          <w:kern w:val="0"/>
          <w:sz w:val="24"/>
        </w:rPr>
        <w:t>本项目</w:t>
      </w:r>
      <w:r>
        <w:rPr>
          <w:rFonts w:ascii="宋体" w:hAnsi="宋体"/>
          <w:color w:val="000000" w:themeColor="text1"/>
          <w:kern w:val="0"/>
          <w:sz w:val="24"/>
        </w:rPr>
        <w:t>。</w:t>
      </w:r>
    </w:p>
    <w:p w14:paraId="419FF928">
      <w:pPr>
        <w:numPr>
          <w:ilvl w:val="0"/>
          <w:numId w:val="1"/>
        </w:numPr>
        <w:spacing w:before="240" w:after="240" w:line="360" w:lineRule="auto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标准编制组组成</w:t>
      </w:r>
    </w:p>
    <w:p w14:paraId="768EBE23">
      <w:pPr>
        <w:spacing w:line="360" w:lineRule="auto"/>
        <w:ind w:firstLine="480" w:firstLineChars="200"/>
        <w:rPr>
          <w:rFonts w:hint="eastAsia" w:ascii="宋体" w:hAnsi="宋体"/>
          <w:kern w:val="0"/>
          <w:sz w:val="24"/>
          <w:lang w:val="zh-CN"/>
        </w:rPr>
      </w:pPr>
      <w:r>
        <w:rPr>
          <w:rFonts w:hint="eastAsia" w:ascii="宋体" w:hAnsi="宋体"/>
          <w:kern w:val="0"/>
          <w:sz w:val="24"/>
          <w:lang w:val="zh-CN"/>
        </w:rPr>
        <w:t>本标准起草工作组成员及任务分工见表1。</w:t>
      </w:r>
    </w:p>
    <w:p w14:paraId="256D9540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表1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kern w:val="0"/>
          <w:sz w:val="24"/>
          <w:lang w:val="zh-CN"/>
        </w:rPr>
        <w:t>起草工作</w:t>
      </w:r>
      <w:r>
        <w:rPr>
          <w:rFonts w:hint="eastAsia" w:ascii="宋体" w:hAnsi="宋体"/>
          <w:sz w:val="24"/>
        </w:rPr>
        <w:t>组成员及</w:t>
      </w:r>
      <w:r>
        <w:rPr>
          <w:rFonts w:hint="eastAsia" w:ascii="宋体" w:hAnsi="宋体"/>
          <w:kern w:val="0"/>
          <w:sz w:val="24"/>
          <w:lang w:val="zh-CN"/>
        </w:rPr>
        <w:t>任务</w:t>
      </w:r>
      <w:r>
        <w:rPr>
          <w:rFonts w:hint="eastAsia" w:ascii="宋体" w:hAnsi="宋体"/>
          <w:sz w:val="24"/>
        </w:rPr>
        <w:t>分工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1006"/>
        <w:gridCol w:w="4000"/>
        <w:gridCol w:w="1505"/>
        <w:gridCol w:w="1254"/>
      </w:tblGrid>
      <w:tr w14:paraId="26537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57435D04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590" w:type="pct"/>
          </w:tcPr>
          <w:p w14:paraId="67DB6774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2347" w:type="pct"/>
          </w:tcPr>
          <w:p w14:paraId="1E24855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</w:t>
            </w:r>
          </w:p>
        </w:tc>
        <w:tc>
          <w:tcPr>
            <w:tcW w:w="883" w:type="pct"/>
          </w:tcPr>
          <w:p w14:paraId="5934D40D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  <w:tc>
          <w:tcPr>
            <w:tcW w:w="736" w:type="pct"/>
          </w:tcPr>
          <w:p w14:paraId="45C3EC0E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任务</w:t>
            </w:r>
          </w:p>
        </w:tc>
      </w:tr>
      <w:tr w14:paraId="3A27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3A8F9028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590" w:type="pct"/>
          </w:tcPr>
          <w:p w14:paraId="1EF73D3C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周俊杰</w:t>
            </w:r>
          </w:p>
        </w:tc>
        <w:tc>
          <w:tcPr>
            <w:tcW w:w="2347" w:type="pct"/>
          </w:tcPr>
          <w:p w14:paraId="4B013CC0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清华大学核能与新能源技术研究院</w:t>
            </w:r>
          </w:p>
        </w:tc>
        <w:tc>
          <w:tcPr>
            <w:tcW w:w="883" w:type="pct"/>
          </w:tcPr>
          <w:p w14:paraId="31836779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助理研究员</w:t>
            </w:r>
          </w:p>
        </w:tc>
        <w:tc>
          <w:tcPr>
            <w:tcW w:w="736" w:type="pct"/>
          </w:tcPr>
          <w:p w14:paraId="4ADB2E21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编制全文</w:t>
            </w:r>
          </w:p>
        </w:tc>
      </w:tr>
      <w:tr w14:paraId="3E116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2B423FA8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90" w:type="pct"/>
          </w:tcPr>
          <w:p w14:paraId="0D9AFBD7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史力</w:t>
            </w:r>
          </w:p>
        </w:tc>
        <w:tc>
          <w:tcPr>
            <w:tcW w:w="2347" w:type="pct"/>
          </w:tcPr>
          <w:p w14:paraId="5EFB73F9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清华大学核能与新能源技术研究院</w:t>
            </w:r>
          </w:p>
        </w:tc>
        <w:tc>
          <w:tcPr>
            <w:tcW w:w="883" w:type="pct"/>
          </w:tcPr>
          <w:p w14:paraId="2C52E4C1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研究员</w:t>
            </w:r>
          </w:p>
        </w:tc>
        <w:tc>
          <w:tcPr>
            <w:tcW w:w="736" w:type="pct"/>
          </w:tcPr>
          <w:p w14:paraId="4E309C04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校核全文</w:t>
            </w:r>
          </w:p>
        </w:tc>
      </w:tr>
      <w:tr w14:paraId="4CB63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3B66BF3C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90" w:type="pct"/>
          </w:tcPr>
          <w:p w14:paraId="13279C9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孙立斌</w:t>
            </w:r>
          </w:p>
        </w:tc>
        <w:tc>
          <w:tcPr>
            <w:tcW w:w="2347" w:type="pct"/>
          </w:tcPr>
          <w:p w14:paraId="213D8EE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清华大学核能与新能源技术研究院</w:t>
            </w:r>
          </w:p>
        </w:tc>
        <w:tc>
          <w:tcPr>
            <w:tcW w:w="883" w:type="pct"/>
          </w:tcPr>
          <w:p w14:paraId="59DCF5BC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736" w:type="pct"/>
          </w:tcPr>
          <w:p w14:paraId="1133CB5D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审核全文</w:t>
            </w:r>
          </w:p>
        </w:tc>
      </w:tr>
      <w:tr w14:paraId="632CB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64393805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90" w:type="pct"/>
          </w:tcPr>
          <w:p w14:paraId="1F507696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阎慧杰</w:t>
            </w:r>
          </w:p>
        </w:tc>
        <w:tc>
          <w:tcPr>
            <w:tcW w:w="2347" w:type="pct"/>
          </w:tcPr>
          <w:p w14:paraId="36388F14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清华大学核能与新能源技术研究院</w:t>
            </w:r>
          </w:p>
        </w:tc>
        <w:tc>
          <w:tcPr>
            <w:tcW w:w="883" w:type="pct"/>
          </w:tcPr>
          <w:p w14:paraId="0E26E29D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高级工程师</w:t>
            </w:r>
          </w:p>
        </w:tc>
        <w:tc>
          <w:tcPr>
            <w:tcW w:w="736" w:type="pct"/>
          </w:tcPr>
          <w:p w14:paraId="00D4BE1F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参与校审</w:t>
            </w:r>
          </w:p>
        </w:tc>
      </w:tr>
      <w:tr w14:paraId="358AB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082F319F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590" w:type="pct"/>
          </w:tcPr>
          <w:p w14:paraId="44CA515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汪垠</w:t>
            </w:r>
          </w:p>
        </w:tc>
        <w:tc>
          <w:tcPr>
            <w:tcW w:w="2347" w:type="pct"/>
          </w:tcPr>
          <w:p w14:paraId="39CD06DC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中核能源科技有限公司</w:t>
            </w:r>
          </w:p>
        </w:tc>
        <w:tc>
          <w:tcPr>
            <w:tcW w:w="883" w:type="pct"/>
          </w:tcPr>
          <w:p w14:paraId="1FE10960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高级工程师</w:t>
            </w:r>
          </w:p>
        </w:tc>
        <w:tc>
          <w:tcPr>
            <w:tcW w:w="736" w:type="pct"/>
          </w:tcPr>
          <w:p w14:paraId="25AA58FE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参与校审</w:t>
            </w:r>
          </w:p>
        </w:tc>
      </w:tr>
      <w:tr w14:paraId="64FF4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5D9A25BC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590" w:type="pct"/>
          </w:tcPr>
          <w:p w14:paraId="7DA68020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易亚楠</w:t>
            </w:r>
          </w:p>
        </w:tc>
        <w:tc>
          <w:tcPr>
            <w:tcW w:w="2347" w:type="pct"/>
          </w:tcPr>
          <w:p w14:paraId="778E3BDD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中核能源科技有限公司</w:t>
            </w:r>
          </w:p>
        </w:tc>
        <w:tc>
          <w:tcPr>
            <w:tcW w:w="883" w:type="pct"/>
          </w:tcPr>
          <w:p w14:paraId="269B9163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副研究员</w:t>
            </w:r>
          </w:p>
        </w:tc>
        <w:tc>
          <w:tcPr>
            <w:tcW w:w="736" w:type="pct"/>
          </w:tcPr>
          <w:p w14:paraId="39253F6F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参与校审</w:t>
            </w:r>
          </w:p>
        </w:tc>
      </w:tr>
    </w:tbl>
    <w:p w14:paraId="21A400A4">
      <w:pPr>
        <w:numPr>
          <w:ilvl w:val="0"/>
          <w:numId w:val="1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编制过程</w:t>
      </w:r>
    </w:p>
    <w:p w14:paraId="0F618AE7">
      <w:pPr>
        <w:pStyle w:val="26"/>
        <w:spacing w:after="0" w:line="360" w:lineRule="auto"/>
        <w:ind w:firstLine="480" w:firstLineChars="200"/>
        <w:jc w:val="both"/>
      </w:pPr>
      <w:r>
        <w:rPr>
          <w:rFonts w:hint="eastAsia"/>
        </w:rPr>
        <w:t>本标准的起草过程主要分为前期准备、征求意见稿编制、送审稿编制、报批稿编制阶段。</w:t>
      </w:r>
    </w:p>
    <w:p w14:paraId="20EFCC04">
      <w:pPr>
        <w:spacing w:before="240" w:line="360" w:lineRule="auto"/>
        <w:rPr>
          <w:rFonts w:hint="eastAsia"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3.1 前期准备（2025年12月-2026年3月）</w:t>
      </w:r>
    </w:p>
    <w:p w14:paraId="0A1590DB">
      <w:pPr>
        <w:spacing w:line="360" w:lineRule="auto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在接到编制标准的任务后，清华大学核能与新能源技术研究院成立了标准编制工作组，成员包括高级职称5名，中级职称1名，分别负责相关的调研和标准编制工作。</w:t>
      </w:r>
    </w:p>
    <w:p w14:paraId="7862C5D2">
      <w:pPr>
        <w:spacing w:line="360" w:lineRule="auto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在前期准备阶段成立标准编制小组和明确工作任务后，基于HTR-PM项目的技术文件，并结合国际和国内现行标准的有关要求，确立编制标准的构架以及技术内容。</w:t>
      </w:r>
    </w:p>
    <w:p w14:paraId="7CE7E88A">
      <w:pPr>
        <w:spacing w:line="360" w:lineRule="auto"/>
        <w:ind w:firstLine="480" w:firstLineChars="200"/>
        <w:rPr>
          <w:color w:val="0000FF"/>
          <w:sz w:val="24"/>
        </w:rPr>
      </w:pPr>
      <w:r>
        <w:rPr>
          <w:rFonts w:hint="eastAsia" w:ascii="宋体" w:hAnsi="宋体"/>
          <w:color w:val="000000" w:themeColor="text1"/>
          <w:kern w:val="0"/>
          <w:sz w:val="24"/>
        </w:rPr>
        <w:t>核工业标准化研究所于2026年2月5日于北京组织有关单位专家和代表召开了立项把关审查会，与会专家听取了编制组对标准编制背景情况的汇报，经过对标准内容深入讨论，对标准技术内容无实质性分歧意见，建议该标准立项，并提出部分修改意见。会后编制组对建议书和标准草案进行了修改。</w:t>
      </w:r>
    </w:p>
    <w:p w14:paraId="0CC8EDD1">
      <w:pPr>
        <w:spacing w:before="240" w:line="360" w:lineRule="auto"/>
        <w:rPr>
          <w:rFonts w:hint="eastAsia"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3.2 征求意见稿编制（2026年4月-2026年7月）</w:t>
      </w:r>
    </w:p>
    <w:p w14:paraId="3695066E">
      <w:pPr>
        <w:spacing w:line="360" w:lineRule="auto"/>
        <w:ind w:firstLine="480" w:firstLineChars="200"/>
        <w:rPr>
          <w:rFonts w:ascii="宋体" w:hAnsi="宋体"/>
          <w:color w:val="000000" w:themeColor="text1"/>
          <w:kern w:val="0"/>
          <w:sz w:val="24"/>
        </w:rPr>
      </w:pPr>
      <w:r>
        <w:rPr>
          <w:rFonts w:ascii="宋体" w:hAnsi="宋体"/>
          <w:color w:val="000000" w:themeColor="text1"/>
          <w:kern w:val="0"/>
          <w:sz w:val="24"/>
        </w:rPr>
        <w:t>在上述调研分析的基础上同时结合国内实际情况，起草了本标准的初稿。经过中国核学会团体标准立项把关会评审，主编单位内部进行多次反复讨论和修改，对标准内容进一步补充、完善、归纳和凝练，形成本标准的征求意见稿。</w:t>
      </w:r>
    </w:p>
    <w:p w14:paraId="25797C67">
      <w:pPr>
        <w:numPr>
          <w:ilvl w:val="0"/>
          <w:numId w:val="1"/>
        </w:numPr>
        <w:spacing w:before="240" w:after="240" w:line="360" w:lineRule="auto"/>
        <w:rPr>
          <w:rFonts w:hint="eastAsia" w:ascii="黑体" w:hAnsi="黑体" w:eastAsia="黑体"/>
          <w:kern w:val="0"/>
          <w:sz w:val="24"/>
        </w:rPr>
      </w:pPr>
      <w:r>
        <w:rPr>
          <w:rFonts w:hint="eastAsia" w:ascii="黑体" w:eastAsia="黑体"/>
          <w:sz w:val="28"/>
          <w:szCs w:val="28"/>
        </w:rPr>
        <w:t>标准编写原则和主要内容</w:t>
      </w:r>
      <w:bookmarkStart w:id="0" w:name="_Toc361734314"/>
    </w:p>
    <w:bookmarkEnd w:id="0"/>
    <w:p w14:paraId="42D9830E">
      <w:pPr>
        <w:spacing w:before="240" w:line="360" w:lineRule="auto"/>
        <w:rPr>
          <w:rFonts w:hint="eastAsia" w:ascii="黑体" w:hAnsi="黑体" w:eastAsia="黑体"/>
          <w:kern w:val="0"/>
          <w:sz w:val="24"/>
        </w:rPr>
      </w:pPr>
      <w:bookmarkStart w:id="1" w:name="_Toc361669937"/>
      <w:bookmarkEnd w:id="1"/>
      <w:bookmarkStart w:id="2" w:name="_Toc361734315"/>
      <w:r>
        <w:rPr>
          <w:rFonts w:hint="eastAsia" w:ascii="黑体" w:hAnsi="黑体" w:eastAsia="黑体"/>
          <w:kern w:val="0"/>
          <w:sz w:val="24"/>
        </w:rPr>
        <w:t>4.1 起草原则</w:t>
      </w:r>
      <w:bookmarkEnd w:id="2"/>
    </w:p>
    <w:p w14:paraId="0547C805">
      <w:pPr>
        <w:spacing w:line="360" w:lineRule="auto"/>
        <w:ind w:firstLine="480"/>
        <w:rPr>
          <w:rFonts w:hint="eastAsia" w:asciiTheme="majorEastAsia" w:hAnsiTheme="majorEastAsia" w:eastAsiaTheme="maj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本标准的起草严格遵照国家核安全技术法规导则，并与现行相关国家标准、行业标准保持协调一致。本标准</w:t>
      </w:r>
      <w:r>
        <w:rPr>
          <w:rFonts w:hint="eastAsia" w:asciiTheme="majorEastAsia" w:hAnsiTheme="majorEastAsia" w:eastAsiaTheme="majorEastAsia"/>
          <w:sz w:val="24"/>
          <w:szCs w:val="28"/>
          <w:lang w:val="de-DE"/>
        </w:rPr>
        <w:t xml:space="preserve">按照GB/T 1.1—2020《标准化工作导则 </w:t>
      </w:r>
      <w:r>
        <w:rPr>
          <w:rFonts w:asciiTheme="majorEastAsia" w:hAnsiTheme="majorEastAsia" w:eastAsiaTheme="majorEastAsia"/>
          <w:sz w:val="24"/>
          <w:szCs w:val="28"/>
          <w:lang w:val="de-DE"/>
        </w:rPr>
        <w:t xml:space="preserve"> </w:t>
      </w:r>
      <w:r>
        <w:rPr>
          <w:rFonts w:hint="eastAsia" w:asciiTheme="majorEastAsia" w:hAnsiTheme="majorEastAsia" w:eastAsiaTheme="majorEastAsia"/>
          <w:sz w:val="24"/>
          <w:szCs w:val="28"/>
          <w:lang w:val="de-DE"/>
        </w:rPr>
        <w:t>第1部分：标准化文件的结构和起草规则》</w:t>
      </w:r>
      <w:bookmarkStart w:id="4" w:name="_GoBack"/>
      <w:bookmarkEnd w:id="4"/>
      <w:r>
        <w:rPr>
          <w:rFonts w:hint="eastAsia" w:asciiTheme="majorEastAsia" w:hAnsiTheme="majorEastAsia" w:eastAsiaTheme="majorEastAsia"/>
          <w:sz w:val="24"/>
          <w:szCs w:val="28"/>
          <w:lang w:val="de-DE"/>
        </w:rPr>
        <w:t>的规定起草。</w:t>
      </w:r>
    </w:p>
    <w:p w14:paraId="6FC23DFE">
      <w:pPr>
        <w:spacing w:before="240" w:line="360" w:lineRule="auto"/>
        <w:rPr>
          <w:rFonts w:hint="eastAsia"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4.2主要内容</w:t>
      </w:r>
    </w:p>
    <w:p w14:paraId="489DF6F9">
      <w:pPr>
        <w:spacing w:before="240" w:line="360" w:lineRule="auto"/>
        <w:ind w:firstLine="480" w:firstLineChars="200"/>
        <w:rPr>
          <w:rFonts w:hint="eastAsia"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1、主要技术</w:t>
      </w:r>
      <w:r>
        <w:rPr>
          <w:rFonts w:ascii="黑体" w:hAnsi="黑体" w:eastAsia="黑体"/>
          <w:kern w:val="0"/>
          <w:sz w:val="24"/>
        </w:rPr>
        <w:t>内容</w:t>
      </w:r>
      <w:r>
        <w:rPr>
          <w:rFonts w:hint="eastAsia" w:ascii="黑体" w:hAnsi="黑体" w:eastAsia="黑体"/>
          <w:kern w:val="0"/>
          <w:sz w:val="24"/>
        </w:rPr>
        <w:t>说明</w:t>
      </w:r>
    </w:p>
    <w:p w14:paraId="473F5466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下面按标准的条文顺序对标准内容说明如下。</w:t>
      </w:r>
    </w:p>
    <w:p w14:paraId="63959668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1 标准结构范围</w:t>
      </w:r>
    </w:p>
    <w:p w14:paraId="7CB80D50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主要由范围、规范性引用文件、术语和定义、材料性能要求、材料生产、验收检查、包装和运输七部分组成。</w:t>
      </w:r>
    </w:p>
    <w:p w14:paraId="3BE3A7BB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2 范围</w:t>
      </w:r>
    </w:p>
    <w:p w14:paraId="27A6798A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规定了高温气冷堆用反射层石墨材料反射层石墨材料性能要求、材料生产、验收检查、包装和运输等技术要求，</w:t>
      </w:r>
      <w:r>
        <w:rPr>
          <w:rFonts w:asciiTheme="minorEastAsia" w:hAnsiTheme="minorEastAsia"/>
          <w:sz w:val="24"/>
          <w:szCs w:val="28"/>
          <w:lang w:val="de-DE"/>
        </w:rPr>
        <w:t>适用于以石油焦、</w:t>
      </w:r>
      <w:r>
        <w:rPr>
          <w:rFonts w:hint="eastAsia" w:asciiTheme="minorEastAsia" w:hAnsiTheme="minorEastAsia"/>
          <w:sz w:val="24"/>
          <w:szCs w:val="28"/>
          <w:lang w:val="de-DE"/>
        </w:rPr>
        <w:t>沥青焦等原材料</w:t>
      </w:r>
      <w:r>
        <w:rPr>
          <w:rFonts w:asciiTheme="minorEastAsia" w:hAnsiTheme="minorEastAsia"/>
          <w:sz w:val="24"/>
          <w:szCs w:val="28"/>
          <w:lang w:val="de-DE"/>
        </w:rPr>
        <w:t>，经成型、焙烧、浸渍、二次焙烧、石墨化和</w:t>
      </w:r>
      <w:r>
        <w:rPr>
          <w:rFonts w:hint="eastAsia" w:asciiTheme="minorEastAsia" w:hAnsiTheme="minorEastAsia"/>
          <w:sz w:val="24"/>
          <w:szCs w:val="28"/>
          <w:lang w:val="de-DE"/>
        </w:rPr>
        <w:t>纯化</w:t>
      </w:r>
      <w:r>
        <w:rPr>
          <w:rFonts w:asciiTheme="minorEastAsia" w:hAnsiTheme="minorEastAsia"/>
          <w:sz w:val="24"/>
          <w:szCs w:val="28"/>
          <w:lang w:val="de-DE"/>
        </w:rPr>
        <w:t>而制成的</w:t>
      </w:r>
      <w:r>
        <w:rPr>
          <w:rFonts w:hint="eastAsia" w:asciiTheme="minorEastAsia" w:hAnsiTheme="minorEastAsia"/>
          <w:sz w:val="24"/>
          <w:szCs w:val="28"/>
          <w:lang w:val="de-DE"/>
        </w:rPr>
        <w:t>石墨</w:t>
      </w:r>
      <w:r>
        <w:rPr>
          <w:rFonts w:asciiTheme="minorEastAsia" w:hAnsiTheme="minorEastAsia"/>
          <w:sz w:val="24"/>
          <w:szCs w:val="28"/>
          <w:lang w:val="de-DE"/>
        </w:rPr>
        <w:t>材料，供高温气冷堆反射层使用</w:t>
      </w:r>
      <w:r>
        <w:rPr>
          <w:rFonts w:hint="eastAsia" w:asciiTheme="minorEastAsia" w:hAnsiTheme="minorEastAsia"/>
          <w:sz w:val="24"/>
          <w:szCs w:val="28"/>
          <w:lang w:val="de-DE"/>
        </w:rPr>
        <w:t>。</w:t>
      </w:r>
    </w:p>
    <w:p w14:paraId="38917D59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3 规范性引用文件</w:t>
      </w:r>
    </w:p>
    <w:p w14:paraId="40828D7C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规范性引用文件按照团体标准的统一导语，并根据被引用标准的情况，对所引用的标准采用不注日期引用和注日期引用。</w:t>
      </w:r>
    </w:p>
    <w:p w14:paraId="6B7A92D4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4 术语和定义</w:t>
      </w:r>
    </w:p>
    <w:p w14:paraId="585FC57A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 xml:space="preserve">热膨胀系数各向异性比 CTE based </w:t>
      </w:r>
      <w:r>
        <w:rPr>
          <w:rFonts w:asciiTheme="minorEastAsia" w:hAnsiTheme="minorEastAsia"/>
          <w:sz w:val="24"/>
          <w:szCs w:val="28"/>
          <w:lang w:val="de-DE"/>
        </w:rPr>
        <w:t>anisotropy ratio</w:t>
      </w:r>
    </w:p>
    <w:p w14:paraId="6D27B9E7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热膨胀系数各向异性比为不同成型方向热膨胀系数的比值（较大值</w:t>
      </w:r>
      <w:r>
        <w:rPr>
          <w:rFonts w:asciiTheme="minorEastAsia" w:hAnsiTheme="minorEastAsia"/>
          <w:sz w:val="24"/>
          <w:szCs w:val="28"/>
          <w:lang w:val="de-DE"/>
        </w:rPr>
        <w:t>与</w:t>
      </w:r>
      <w:r>
        <w:rPr>
          <w:rFonts w:hint="eastAsia" w:asciiTheme="minorEastAsia" w:hAnsiTheme="minorEastAsia"/>
          <w:sz w:val="24"/>
          <w:szCs w:val="28"/>
          <w:lang w:val="de-DE"/>
        </w:rPr>
        <w:t>较小值</w:t>
      </w:r>
      <w:r>
        <w:rPr>
          <w:rFonts w:asciiTheme="minorEastAsia" w:hAnsiTheme="minorEastAsia"/>
          <w:sz w:val="24"/>
          <w:szCs w:val="28"/>
          <w:lang w:val="de-DE"/>
        </w:rPr>
        <w:t>的比值</w:t>
      </w:r>
      <w:r>
        <w:rPr>
          <w:rFonts w:hint="eastAsia" w:asciiTheme="minorEastAsia" w:hAnsiTheme="minorEastAsia"/>
          <w:sz w:val="24"/>
          <w:szCs w:val="28"/>
          <w:lang w:val="de-DE"/>
        </w:rPr>
        <w:t>），方向的确定参考材料的成型工艺。</w:t>
      </w:r>
    </w:p>
    <w:p w14:paraId="2813B1EE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5 材料性能要求</w:t>
      </w:r>
    </w:p>
    <w:p w14:paraId="169DB73A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规定了反射层石墨材料的成型方法、成分分析、未辐照的物理和机械性能、材质均匀性、材料缺陷、辐照后的特性、其他特性等内容。</w:t>
      </w:r>
    </w:p>
    <w:p w14:paraId="3B8AF5A7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6 材料生产</w:t>
      </w:r>
    </w:p>
    <w:p w14:paraId="5CFEC961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规定了反射层石墨材料的生产厂家资质与生产工艺等内容。</w:t>
      </w:r>
    </w:p>
    <w:p w14:paraId="3580738B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7 验收检查</w:t>
      </w:r>
    </w:p>
    <w:p w14:paraId="1BDD6527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规定了反射层石墨材料的批次、验收文件、验收结论等内容。</w:t>
      </w:r>
    </w:p>
    <w:p w14:paraId="177E51DA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8 包装和运输</w:t>
      </w:r>
    </w:p>
    <w:p w14:paraId="4B9C87E1">
      <w:pPr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规定了反射层石墨材料的包装、运输等内容。</w:t>
      </w:r>
    </w:p>
    <w:p w14:paraId="025AD923">
      <w:pPr>
        <w:spacing w:before="240" w:line="360" w:lineRule="auto"/>
        <w:ind w:firstLine="480" w:firstLineChars="200"/>
        <w:rPr>
          <w:rFonts w:hint="eastAsia"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2、修订说明（如修订项目）</w:t>
      </w:r>
    </w:p>
    <w:p w14:paraId="61899AB1">
      <w:pPr>
        <w:spacing w:line="360" w:lineRule="auto"/>
        <w:ind w:firstLine="480"/>
        <w:rPr>
          <w:rFonts w:hint="eastAsia" w:asciiTheme="minorEastAsia" w:hAnsiTheme="minorEastAsia"/>
          <w:sz w:val="28"/>
        </w:rPr>
      </w:pPr>
      <w:r>
        <w:rPr>
          <w:rFonts w:hint="eastAsia" w:ascii="Calibri" w:hAnsi="Calibri" w:eastAsia="宋体" w:cs="Times New Roman"/>
          <w:sz w:val="24"/>
        </w:rPr>
        <w:t>无。</w:t>
      </w:r>
    </w:p>
    <w:p w14:paraId="79C0E63B">
      <w:pPr>
        <w:numPr>
          <w:ilvl w:val="0"/>
          <w:numId w:val="1"/>
        </w:numPr>
        <w:spacing w:before="240" w:after="240"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国内外相关标准现状分析</w:t>
      </w:r>
    </w:p>
    <w:p w14:paraId="351C2F5C">
      <w:pPr>
        <w:spacing w:before="240" w:line="360" w:lineRule="auto"/>
        <w:rPr>
          <w:rFonts w:hint="eastAsia"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5.1 我国相关标准现状分析</w:t>
      </w:r>
    </w:p>
    <w:p w14:paraId="1551AF12">
      <w:pPr>
        <w:pStyle w:val="24"/>
        <w:spacing w:line="360" w:lineRule="auto"/>
        <w:ind w:firstLine="480"/>
        <w:rPr>
          <w:rFonts w:hint="eastAsia" w:asciiTheme="minorEastAsia" w:hAnsiTheme="minorEastAsia"/>
          <w:kern w:val="2"/>
          <w:sz w:val="24"/>
          <w:szCs w:val="28"/>
          <w:lang w:val="de-DE"/>
        </w:rPr>
      </w:pPr>
      <w:r>
        <w:rPr>
          <w:rFonts w:hint="eastAsia" w:asciiTheme="minorEastAsia" w:hAnsiTheme="minorEastAsia"/>
          <w:kern w:val="2"/>
          <w:sz w:val="24"/>
          <w:szCs w:val="28"/>
          <w:lang w:val="de-DE"/>
        </w:rPr>
        <w:t>目前国标、行标相关的反射层石墨材料标准基本是针对民用产品，依据编制组调研情况，没有已发布的适用于高温堆的反射层石墨材料技术要求，通过制定高温堆相关的标准有利于形成高温堆堆型的配套规范体系。</w:t>
      </w:r>
    </w:p>
    <w:p w14:paraId="79B6066C">
      <w:pPr>
        <w:spacing w:before="240" w:line="360" w:lineRule="auto"/>
        <w:rPr>
          <w:rFonts w:hint="eastAsia"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5</w:t>
      </w:r>
      <w:r>
        <w:rPr>
          <w:rFonts w:ascii="黑体" w:hAnsi="黑体" w:eastAsia="黑体"/>
          <w:kern w:val="0"/>
          <w:sz w:val="24"/>
        </w:rPr>
        <w:t>.2 国外相关标准现状分析</w:t>
      </w:r>
    </w:p>
    <w:p w14:paraId="0C18C02B">
      <w:pPr>
        <w:pStyle w:val="24"/>
        <w:spacing w:line="360" w:lineRule="auto"/>
        <w:ind w:firstLine="480"/>
        <w:rPr>
          <w:rFonts w:hint="eastAsia"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kern w:val="2"/>
          <w:sz w:val="24"/>
          <w:szCs w:val="28"/>
          <w:lang w:val="de-DE"/>
        </w:rPr>
        <w:t>国外无相关规范。清华大学核能与新能源技术研究院参考德国气冷堆设计在 HTR-PM 项目中曾编制了《HTR-PM石墨材料技术规格书》，本标准将依此设计文件为基础，结合HTR-PM石墨堆芯支承结构设计、制造与调试的具体情况，兼顾后续高温气冷堆石墨堆芯支承结构发展的趋势，重新编制《高温气冷堆核动力厂</w:t>
      </w:r>
      <w:bookmarkStart w:id="3" w:name="_Hlk200724418"/>
      <w:r>
        <w:rPr>
          <w:rFonts w:hint="eastAsia" w:asciiTheme="minorEastAsia" w:hAnsiTheme="minorEastAsia"/>
          <w:kern w:val="2"/>
          <w:sz w:val="24"/>
          <w:szCs w:val="28"/>
          <w:lang w:val="de-DE"/>
        </w:rPr>
        <w:t>反射层石墨材料技术要求</w:t>
      </w:r>
      <w:bookmarkEnd w:id="3"/>
      <w:r>
        <w:rPr>
          <w:rFonts w:hint="eastAsia" w:asciiTheme="minorEastAsia" w:hAnsiTheme="minorEastAsia"/>
          <w:kern w:val="2"/>
          <w:sz w:val="24"/>
          <w:szCs w:val="28"/>
          <w:lang w:val="de-DE"/>
        </w:rPr>
        <w:t>》。</w:t>
      </w:r>
    </w:p>
    <w:p w14:paraId="795446D6">
      <w:pPr>
        <w:numPr>
          <w:ilvl w:val="0"/>
          <w:numId w:val="1"/>
        </w:numPr>
        <w:spacing w:before="240" w:after="240"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主要</w:t>
      </w:r>
      <w:r>
        <w:rPr>
          <w:rFonts w:ascii="黑体" w:hAnsi="宋体" w:eastAsia="黑体"/>
          <w:sz w:val="28"/>
          <w:szCs w:val="28"/>
        </w:rPr>
        <w:t>试验验证</w:t>
      </w:r>
      <w:r>
        <w:rPr>
          <w:rFonts w:hint="eastAsia" w:ascii="黑体" w:hAnsi="宋体" w:eastAsia="黑体"/>
          <w:sz w:val="28"/>
          <w:szCs w:val="28"/>
        </w:rPr>
        <w:t>情况和预期达到的效果</w:t>
      </w:r>
    </w:p>
    <w:p w14:paraId="5873899B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清华大学核能与新能源技术研究院在HTR-PM项目</w:t>
      </w:r>
      <w:r>
        <w:rPr>
          <w:rFonts w:hint="eastAsia" w:ascii="Times New Roman" w:hAnsi="Times New Roman" w:eastAsia="宋体" w:cs="Times New Roman"/>
          <w:sz w:val="24"/>
        </w:rPr>
        <w:t>中得到了成功应用。</w:t>
      </w:r>
    </w:p>
    <w:p w14:paraId="6372E848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本标准发布后实施可</w:t>
      </w:r>
      <w:r>
        <w:rPr>
          <w:rFonts w:ascii="Times New Roman" w:hAnsi="Times New Roman" w:eastAsia="宋体" w:cs="Times New Roman"/>
          <w:sz w:val="24"/>
        </w:rPr>
        <w:t>为高温气冷堆</w:t>
      </w:r>
      <w:r>
        <w:rPr>
          <w:rFonts w:hint="eastAsia" w:ascii="Times New Roman" w:hAnsi="Times New Roman" w:eastAsia="宋体" w:cs="Times New Roman"/>
          <w:sz w:val="24"/>
        </w:rPr>
        <w:t>反射层石墨材料</w:t>
      </w:r>
      <w:r>
        <w:rPr>
          <w:rFonts w:ascii="Times New Roman" w:hAnsi="Times New Roman" w:eastAsia="宋体" w:cs="Times New Roman"/>
          <w:sz w:val="24"/>
        </w:rPr>
        <w:t>提供技术</w:t>
      </w:r>
      <w:r>
        <w:rPr>
          <w:rFonts w:hint="eastAsia" w:ascii="Times New Roman" w:hAnsi="Times New Roman" w:eastAsia="宋体" w:cs="Times New Roman"/>
          <w:sz w:val="24"/>
        </w:rPr>
        <w:t>要求，</w:t>
      </w:r>
      <w:r>
        <w:rPr>
          <w:rFonts w:ascii="Times New Roman" w:hAnsi="Times New Roman" w:eastAsia="宋体" w:cs="Times New Roman"/>
          <w:sz w:val="24"/>
        </w:rPr>
        <w:t>带动</w:t>
      </w:r>
      <w:r>
        <w:rPr>
          <w:rFonts w:hint="eastAsia" w:ascii="Times New Roman" w:hAnsi="Times New Roman" w:eastAsia="宋体" w:cs="Times New Roman"/>
          <w:sz w:val="24"/>
        </w:rPr>
        <w:t>相关</w:t>
      </w:r>
      <w:r>
        <w:rPr>
          <w:rFonts w:ascii="Times New Roman" w:hAnsi="Times New Roman" w:eastAsia="宋体" w:cs="Times New Roman"/>
          <w:sz w:val="24"/>
        </w:rPr>
        <w:t>产业链发展</w:t>
      </w:r>
      <w:r>
        <w:rPr>
          <w:rFonts w:hint="eastAsia" w:ascii="Times New Roman" w:hAnsi="Times New Roman" w:eastAsia="宋体" w:cs="Times New Roman"/>
          <w:sz w:val="24"/>
        </w:rPr>
        <w:t>，</w:t>
      </w:r>
      <w:r>
        <w:rPr>
          <w:rFonts w:ascii="Times New Roman" w:hAnsi="Times New Roman" w:eastAsia="宋体" w:cs="Times New Roman"/>
          <w:sz w:val="24"/>
        </w:rPr>
        <w:t>是我国高温气冷堆技术走向成熟和产业化的重要里程碑</w:t>
      </w:r>
      <w:r>
        <w:rPr>
          <w:rFonts w:hint="eastAsia" w:ascii="Times New Roman" w:hAnsi="Times New Roman" w:eastAsia="宋体" w:cs="Times New Roman"/>
          <w:sz w:val="24"/>
        </w:rPr>
        <w:t>。</w:t>
      </w:r>
    </w:p>
    <w:p w14:paraId="141BCBBC">
      <w:pPr>
        <w:numPr>
          <w:ilvl w:val="0"/>
          <w:numId w:val="1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与现行法律、法规、政策及相关标准的协调性</w:t>
      </w:r>
    </w:p>
    <w:p w14:paraId="18A6F20A">
      <w:pPr>
        <w:pStyle w:val="24"/>
        <w:spacing w:line="360" w:lineRule="auto"/>
        <w:ind w:firstLine="480"/>
        <w:rPr>
          <w:rFonts w:hint="eastAsia" w:ascii="黑体" w:hAnsi="宋体"/>
          <w:sz w:val="24"/>
          <w:szCs w:val="28"/>
          <w:lang w:val="de-DE"/>
        </w:rPr>
      </w:pPr>
      <w:r>
        <w:rPr>
          <w:rFonts w:hint="eastAsia" w:ascii="黑体" w:hAnsi="宋体"/>
          <w:sz w:val="24"/>
          <w:szCs w:val="28"/>
          <w:lang w:val="de-DE"/>
        </w:rPr>
        <w:t>本标准技术内容符合国家核安全技术法规</w:t>
      </w:r>
      <w:r>
        <w:rPr>
          <w:rFonts w:hint="eastAsia" w:ascii="黑体" w:hAnsi="宋体"/>
          <w:sz w:val="24"/>
          <w:szCs w:val="28"/>
        </w:rPr>
        <w:t>及</w:t>
      </w:r>
      <w:r>
        <w:rPr>
          <w:rFonts w:hint="eastAsia" w:ascii="黑体" w:hAnsi="宋体"/>
          <w:sz w:val="24"/>
          <w:szCs w:val="28"/>
          <w:lang w:val="de-DE"/>
        </w:rPr>
        <w:t>导则要求。</w:t>
      </w:r>
    </w:p>
    <w:p w14:paraId="3E093D75">
      <w:pPr>
        <w:numPr>
          <w:ilvl w:val="0"/>
          <w:numId w:val="1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贯彻标准的要求和措施建议</w:t>
      </w:r>
    </w:p>
    <w:p w14:paraId="36E4EBAB">
      <w:pPr>
        <w:pStyle w:val="24"/>
        <w:spacing w:line="360" w:lineRule="auto"/>
        <w:ind w:firstLine="480"/>
        <w:rPr>
          <w:rFonts w:ascii="黑体"/>
          <w:sz w:val="28"/>
          <w:szCs w:val="28"/>
        </w:rPr>
      </w:pPr>
      <w:r>
        <w:rPr>
          <w:rFonts w:hint="eastAsia" w:ascii="黑体" w:hAnsi="宋体"/>
          <w:sz w:val="24"/>
          <w:szCs w:val="28"/>
        </w:rPr>
        <w:t>本标准发布后，</w:t>
      </w:r>
      <w:r>
        <w:rPr>
          <w:rFonts w:hint="eastAsia" w:ascii="黑体" w:hAnsi="宋体"/>
          <w:color w:val="000000" w:themeColor="text1"/>
          <w:sz w:val="24"/>
          <w:szCs w:val="28"/>
        </w:rPr>
        <w:t>建议高温气冷堆等相关设计、运营</w:t>
      </w:r>
      <w:r>
        <w:rPr>
          <w:rFonts w:hint="eastAsia" w:ascii="黑体" w:hAnsi="宋体"/>
          <w:sz w:val="24"/>
          <w:szCs w:val="28"/>
        </w:rPr>
        <w:t>单位采用。本标准发布后立即实施。</w:t>
      </w:r>
    </w:p>
    <w:p w14:paraId="3877FF6A">
      <w:pPr>
        <w:numPr>
          <w:ilvl w:val="0"/>
          <w:numId w:val="1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重大分歧意见的处理经过和依据</w:t>
      </w:r>
    </w:p>
    <w:p w14:paraId="0AFAEDCB">
      <w:pPr>
        <w:pStyle w:val="24"/>
        <w:spacing w:line="360" w:lineRule="auto"/>
        <w:ind w:firstLine="480"/>
        <w:rPr>
          <w:rFonts w:hint="eastAsia" w:ascii="黑体" w:hAnsi="宋体"/>
          <w:sz w:val="24"/>
          <w:szCs w:val="28"/>
          <w:lang w:val="de-DE"/>
        </w:rPr>
      </w:pPr>
      <w:r>
        <w:rPr>
          <w:rFonts w:hint="eastAsia" w:ascii="黑体" w:hAnsi="宋体"/>
          <w:sz w:val="24"/>
          <w:szCs w:val="28"/>
          <w:lang w:val="de-DE"/>
        </w:rPr>
        <w:t>本标准起草过程中无重大分歧意见。</w:t>
      </w:r>
    </w:p>
    <w:p w14:paraId="02813390">
      <w:pPr>
        <w:numPr>
          <w:ilvl w:val="0"/>
          <w:numId w:val="1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涉及专利的有关说明</w:t>
      </w:r>
    </w:p>
    <w:p w14:paraId="2AD1212B">
      <w:pPr>
        <w:pStyle w:val="24"/>
        <w:spacing w:line="360" w:lineRule="auto"/>
        <w:ind w:firstLine="480"/>
        <w:rPr>
          <w:rFonts w:hint="eastAsia" w:ascii="黑体" w:hAnsi="宋体"/>
          <w:sz w:val="24"/>
          <w:szCs w:val="28"/>
          <w:lang w:val="de-DE"/>
        </w:rPr>
      </w:pPr>
      <w:r>
        <w:rPr>
          <w:rFonts w:hint="eastAsia" w:ascii="黑体" w:hAnsi="宋体"/>
          <w:sz w:val="24"/>
          <w:szCs w:val="28"/>
          <w:lang w:val="de-DE"/>
        </w:rPr>
        <w:t>本标准不涉及专利。</w:t>
      </w:r>
    </w:p>
    <w:p w14:paraId="6A0ABF21">
      <w:pPr>
        <w:numPr>
          <w:ilvl w:val="0"/>
          <w:numId w:val="1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>其它事项</w:t>
      </w:r>
    </w:p>
    <w:p w14:paraId="02EED62F">
      <w:pPr>
        <w:spacing w:line="360" w:lineRule="auto"/>
        <w:ind w:firstLine="480" w:firstLineChars="200"/>
        <w:rPr>
          <w:rFonts w:ascii="黑体" w:eastAsia="黑体"/>
          <w:sz w:val="28"/>
          <w:szCs w:val="28"/>
        </w:rPr>
      </w:pPr>
      <w:r>
        <w:rPr>
          <w:rFonts w:hint="eastAsia"/>
          <w:sz w:val="24"/>
        </w:rPr>
        <w:t>无/调整申请等情况</w:t>
      </w:r>
      <w:r>
        <w:rPr>
          <w:rFonts w:hint="eastAsia" w:ascii="黑体" w:hAnsi="宋体"/>
          <w:sz w:val="24"/>
          <w:szCs w:val="28"/>
          <w:lang w:val="de-DE"/>
        </w:rPr>
        <w:t>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EBDC0">
    <w:pPr>
      <w:pStyle w:val="8"/>
      <w:jc w:val="center"/>
    </w:pPr>
  </w:p>
  <w:p w14:paraId="37352674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0474950"/>
    </w:sdtPr>
    <w:sdtEndPr>
      <w:rPr>
        <w:rFonts w:asciiTheme="minorEastAsia" w:hAnsiTheme="minorEastAsia"/>
        <w:sz w:val="21"/>
        <w:szCs w:val="21"/>
      </w:rPr>
    </w:sdtEndPr>
    <w:sdtContent>
      <w:p w14:paraId="2D70635B">
        <w:pPr>
          <w:pStyle w:val="8"/>
          <w:jc w:val="center"/>
          <w:rPr>
            <w:rFonts w:hint="eastAsia" w:asciiTheme="minorEastAsia" w:hAnsiTheme="minorEastAsia"/>
            <w:sz w:val="21"/>
            <w:szCs w:val="21"/>
          </w:rPr>
        </w:pPr>
        <w:r>
          <w:rPr>
            <w:rFonts w:asciiTheme="minorEastAsia" w:hAnsiTheme="minorEastAsia"/>
            <w:sz w:val="21"/>
            <w:szCs w:val="21"/>
          </w:rPr>
          <w:fldChar w:fldCharType="begin"/>
        </w:r>
        <w:r>
          <w:rPr>
            <w:rFonts w:asciiTheme="minorEastAsia" w:hAnsiTheme="minorEastAsia"/>
            <w:sz w:val="21"/>
            <w:szCs w:val="21"/>
          </w:rPr>
          <w:instrText xml:space="preserve">PAGE   \* MERGEFORMAT</w:instrText>
        </w:r>
        <w:r>
          <w:rPr>
            <w:rFonts w:asciiTheme="minorEastAsia" w:hAnsiTheme="minorEastAsia"/>
            <w:sz w:val="21"/>
            <w:szCs w:val="21"/>
          </w:rPr>
          <w:fldChar w:fldCharType="separate"/>
        </w:r>
        <w:r>
          <w:rPr>
            <w:rFonts w:asciiTheme="minorEastAsia" w:hAnsiTheme="minorEastAsia"/>
            <w:sz w:val="21"/>
            <w:szCs w:val="21"/>
            <w:lang w:val="zh-CN"/>
          </w:rPr>
          <w:t>2</w:t>
        </w:r>
        <w:r>
          <w:rPr>
            <w:rFonts w:asciiTheme="minorEastAsia" w:hAnsiTheme="minorEastAsia"/>
            <w:sz w:val="21"/>
            <w:szCs w:val="21"/>
          </w:rPr>
          <w:fldChar w:fldCharType="end"/>
        </w:r>
      </w:p>
    </w:sdtContent>
  </w:sdt>
  <w:p w14:paraId="1793BE58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4E3D38"/>
    <w:multiLevelType w:val="multilevel"/>
    <w:tmpl w:val="2D4E3D38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  <w:sz w:val="28"/>
        <w:szCs w:val="28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3D5D6A"/>
    <w:rsid w:val="0001035E"/>
    <w:rsid w:val="00020F20"/>
    <w:rsid w:val="00032502"/>
    <w:rsid w:val="000352E2"/>
    <w:rsid w:val="00036EF6"/>
    <w:rsid w:val="00053FEC"/>
    <w:rsid w:val="0006333A"/>
    <w:rsid w:val="0006411B"/>
    <w:rsid w:val="0006596B"/>
    <w:rsid w:val="00066DB3"/>
    <w:rsid w:val="0008573B"/>
    <w:rsid w:val="00087647"/>
    <w:rsid w:val="00091E9C"/>
    <w:rsid w:val="000A366A"/>
    <w:rsid w:val="000D2ED1"/>
    <w:rsid w:val="000E4C1C"/>
    <w:rsid w:val="000E59E1"/>
    <w:rsid w:val="000E6B69"/>
    <w:rsid w:val="000F2FED"/>
    <w:rsid w:val="00120BF8"/>
    <w:rsid w:val="0012265C"/>
    <w:rsid w:val="00135FE4"/>
    <w:rsid w:val="00162AC3"/>
    <w:rsid w:val="001662F4"/>
    <w:rsid w:val="00171731"/>
    <w:rsid w:val="0018410B"/>
    <w:rsid w:val="0018750C"/>
    <w:rsid w:val="001A04B6"/>
    <w:rsid w:val="001C3A26"/>
    <w:rsid w:val="001C4D30"/>
    <w:rsid w:val="001C4ED9"/>
    <w:rsid w:val="001D1932"/>
    <w:rsid w:val="001D1C95"/>
    <w:rsid w:val="001D53B0"/>
    <w:rsid w:val="001D5C80"/>
    <w:rsid w:val="001D7C70"/>
    <w:rsid w:val="001F3979"/>
    <w:rsid w:val="001F78E8"/>
    <w:rsid w:val="002248E2"/>
    <w:rsid w:val="00230930"/>
    <w:rsid w:val="00231B37"/>
    <w:rsid w:val="0023271D"/>
    <w:rsid w:val="00255933"/>
    <w:rsid w:val="0026281F"/>
    <w:rsid w:val="00262F65"/>
    <w:rsid w:val="00263F77"/>
    <w:rsid w:val="00271E11"/>
    <w:rsid w:val="00272FB6"/>
    <w:rsid w:val="00277521"/>
    <w:rsid w:val="002837DD"/>
    <w:rsid w:val="002A3631"/>
    <w:rsid w:val="002B4EF8"/>
    <w:rsid w:val="002C70FD"/>
    <w:rsid w:val="002E7FC9"/>
    <w:rsid w:val="002F19CD"/>
    <w:rsid w:val="003023D6"/>
    <w:rsid w:val="003054DF"/>
    <w:rsid w:val="003360D6"/>
    <w:rsid w:val="00347448"/>
    <w:rsid w:val="003477F4"/>
    <w:rsid w:val="00360720"/>
    <w:rsid w:val="00360880"/>
    <w:rsid w:val="0036585E"/>
    <w:rsid w:val="00374640"/>
    <w:rsid w:val="00376793"/>
    <w:rsid w:val="00377A70"/>
    <w:rsid w:val="00380A66"/>
    <w:rsid w:val="00384434"/>
    <w:rsid w:val="0039353C"/>
    <w:rsid w:val="00397253"/>
    <w:rsid w:val="003A7847"/>
    <w:rsid w:val="003C1750"/>
    <w:rsid w:val="003D5D6A"/>
    <w:rsid w:val="003D6964"/>
    <w:rsid w:val="003D73E7"/>
    <w:rsid w:val="003E0D1B"/>
    <w:rsid w:val="003E2D8A"/>
    <w:rsid w:val="003F4F38"/>
    <w:rsid w:val="0041093F"/>
    <w:rsid w:val="0041513D"/>
    <w:rsid w:val="00421780"/>
    <w:rsid w:val="00434B44"/>
    <w:rsid w:val="004351D2"/>
    <w:rsid w:val="004570FA"/>
    <w:rsid w:val="004629BF"/>
    <w:rsid w:val="004818B1"/>
    <w:rsid w:val="00481A42"/>
    <w:rsid w:val="00482C0B"/>
    <w:rsid w:val="00487D8A"/>
    <w:rsid w:val="0049012E"/>
    <w:rsid w:val="00493B74"/>
    <w:rsid w:val="00494F73"/>
    <w:rsid w:val="004A39CA"/>
    <w:rsid w:val="004B012F"/>
    <w:rsid w:val="004B1ED8"/>
    <w:rsid w:val="004C1E82"/>
    <w:rsid w:val="004D5C7C"/>
    <w:rsid w:val="004E1878"/>
    <w:rsid w:val="00501090"/>
    <w:rsid w:val="00510B30"/>
    <w:rsid w:val="00535B6B"/>
    <w:rsid w:val="00565379"/>
    <w:rsid w:val="00577081"/>
    <w:rsid w:val="00583F07"/>
    <w:rsid w:val="00592463"/>
    <w:rsid w:val="00593417"/>
    <w:rsid w:val="005C060A"/>
    <w:rsid w:val="005D2B6F"/>
    <w:rsid w:val="005D459D"/>
    <w:rsid w:val="005E7DA2"/>
    <w:rsid w:val="005F1089"/>
    <w:rsid w:val="005F324A"/>
    <w:rsid w:val="006015F7"/>
    <w:rsid w:val="00604D60"/>
    <w:rsid w:val="00624A40"/>
    <w:rsid w:val="00656297"/>
    <w:rsid w:val="006807F9"/>
    <w:rsid w:val="006842A7"/>
    <w:rsid w:val="0069218C"/>
    <w:rsid w:val="006A02D5"/>
    <w:rsid w:val="006A3ED7"/>
    <w:rsid w:val="006A5A31"/>
    <w:rsid w:val="006B0792"/>
    <w:rsid w:val="006C67AB"/>
    <w:rsid w:val="006D2527"/>
    <w:rsid w:val="006D2A2A"/>
    <w:rsid w:val="006D654C"/>
    <w:rsid w:val="006E39BB"/>
    <w:rsid w:val="006F71DF"/>
    <w:rsid w:val="00726B81"/>
    <w:rsid w:val="0073764F"/>
    <w:rsid w:val="00737BD6"/>
    <w:rsid w:val="00741DD1"/>
    <w:rsid w:val="00762A7F"/>
    <w:rsid w:val="007640A6"/>
    <w:rsid w:val="00765F81"/>
    <w:rsid w:val="007823B4"/>
    <w:rsid w:val="007945C1"/>
    <w:rsid w:val="007C6FFA"/>
    <w:rsid w:val="008049C5"/>
    <w:rsid w:val="00821B38"/>
    <w:rsid w:val="00822669"/>
    <w:rsid w:val="0082296F"/>
    <w:rsid w:val="008272B6"/>
    <w:rsid w:val="00830678"/>
    <w:rsid w:val="00832DCD"/>
    <w:rsid w:val="00841E8E"/>
    <w:rsid w:val="00860227"/>
    <w:rsid w:val="00861D8F"/>
    <w:rsid w:val="0087331D"/>
    <w:rsid w:val="008948AF"/>
    <w:rsid w:val="00897716"/>
    <w:rsid w:val="008B7981"/>
    <w:rsid w:val="008C08D5"/>
    <w:rsid w:val="008C15E6"/>
    <w:rsid w:val="008C1B69"/>
    <w:rsid w:val="008D2FD7"/>
    <w:rsid w:val="008D5EBD"/>
    <w:rsid w:val="008D5EDF"/>
    <w:rsid w:val="008E636A"/>
    <w:rsid w:val="008F52F8"/>
    <w:rsid w:val="00911329"/>
    <w:rsid w:val="00930ED7"/>
    <w:rsid w:val="00943FCA"/>
    <w:rsid w:val="00944650"/>
    <w:rsid w:val="00946F21"/>
    <w:rsid w:val="00952EBF"/>
    <w:rsid w:val="00953C06"/>
    <w:rsid w:val="009656CB"/>
    <w:rsid w:val="009666A8"/>
    <w:rsid w:val="0096672D"/>
    <w:rsid w:val="00991817"/>
    <w:rsid w:val="009A07E0"/>
    <w:rsid w:val="009A3084"/>
    <w:rsid w:val="009A3AEB"/>
    <w:rsid w:val="009C2184"/>
    <w:rsid w:val="009D5501"/>
    <w:rsid w:val="009E1897"/>
    <w:rsid w:val="00A02C1A"/>
    <w:rsid w:val="00A036B1"/>
    <w:rsid w:val="00A1629E"/>
    <w:rsid w:val="00A23528"/>
    <w:rsid w:val="00A332CC"/>
    <w:rsid w:val="00A3410F"/>
    <w:rsid w:val="00A41EDF"/>
    <w:rsid w:val="00A454E1"/>
    <w:rsid w:val="00A513CB"/>
    <w:rsid w:val="00A52E1A"/>
    <w:rsid w:val="00A539F9"/>
    <w:rsid w:val="00A80789"/>
    <w:rsid w:val="00A85ED0"/>
    <w:rsid w:val="00A94B8A"/>
    <w:rsid w:val="00AA0012"/>
    <w:rsid w:val="00AA1D40"/>
    <w:rsid w:val="00AA7212"/>
    <w:rsid w:val="00AB1BC4"/>
    <w:rsid w:val="00AB7EB3"/>
    <w:rsid w:val="00AC6EC0"/>
    <w:rsid w:val="00AD1385"/>
    <w:rsid w:val="00AD342B"/>
    <w:rsid w:val="00AD4BFC"/>
    <w:rsid w:val="00AE2E13"/>
    <w:rsid w:val="00AE4381"/>
    <w:rsid w:val="00B10E1E"/>
    <w:rsid w:val="00B1176B"/>
    <w:rsid w:val="00B27905"/>
    <w:rsid w:val="00B349BD"/>
    <w:rsid w:val="00B43477"/>
    <w:rsid w:val="00B464BF"/>
    <w:rsid w:val="00B46840"/>
    <w:rsid w:val="00B565BB"/>
    <w:rsid w:val="00B66BA8"/>
    <w:rsid w:val="00B67AB9"/>
    <w:rsid w:val="00B75C75"/>
    <w:rsid w:val="00B80B98"/>
    <w:rsid w:val="00B833F4"/>
    <w:rsid w:val="00B86AC2"/>
    <w:rsid w:val="00B87C55"/>
    <w:rsid w:val="00B90D7E"/>
    <w:rsid w:val="00B94209"/>
    <w:rsid w:val="00BA5C3D"/>
    <w:rsid w:val="00BB232B"/>
    <w:rsid w:val="00BB5C26"/>
    <w:rsid w:val="00BE5AE0"/>
    <w:rsid w:val="00BF3CE3"/>
    <w:rsid w:val="00BF53A9"/>
    <w:rsid w:val="00C10AE7"/>
    <w:rsid w:val="00C158DF"/>
    <w:rsid w:val="00C22DE2"/>
    <w:rsid w:val="00C37E1D"/>
    <w:rsid w:val="00C37F78"/>
    <w:rsid w:val="00C632FF"/>
    <w:rsid w:val="00C70CFC"/>
    <w:rsid w:val="00C82498"/>
    <w:rsid w:val="00CA1A9A"/>
    <w:rsid w:val="00CB4F95"/>
    <w:rsid w:val="00CC5982"/>
    <w:rsid w:val="00CE54C8"/>
    <w:rsid w:val="00D04AF0"/>
    <w:rsid w:val="00D12DB6"/>
    <w:rsid w:val="00D377FB"/>
    <w:rsid w:val="00D72DD2"/>
    <w:rsid w:val="00D82D77"/>
    <w:rsid w:val="00D86897"/>
    <w:rsid w:val="00D90C74"/>
    <w:rsid w:val="00DA0699"/>
    <w:rsid w:val="00DA0763"/>
    <w:rsid w:val="00DC337B"/>
    <w:rsid w:val="00DC7284"/>
    <w:rsid w:val="00DD3CF8"/>
    <w:rsid w:val="00DD4EE0"/>
    <w:rsid w:val="00DE1542"/>
    <w:rsid w:val="00DE6559"/>
    <w:rsid w:val="00E05368"/>
    <w:rsid w:val="00E10B69"/>
    <w:rsid w:val="00E3265C"/>
    <w:rsid w:val="00E360CB"/>
    <w:rsid w:val="00E36FC3"/>
    <w:rsid w:val="00E76A7B"/>
    <w:rsid w:val="00E90100"/>
    <w:rsid w:val="00E9625E"/>
    <w:rsid w:val="00EA4970"/>
    <w:rsid w:val="00EB3A01"/>
    <w:rsid w:val="00EE5E5C"/>
    <w:rsid w:val="00EF1882"/>
    <w:rsid w:val="00EF4C74"/>
    <w:rsid w:val="00F147EB"/>
    <w:rsid w:val="00F17050"/>
    <w:rsid w:val="00F30D51"/>
    <w:rsid w:val="00F35566"/>
    <w:rsid w:val="00F35DF2"/>
    <w:rsid w:val="00F3622B"/>
    <w:rsid w:val="00F424E8"/>
    <w:rsid w:val="00F45DC7"/>
    <w:rsid w:val="00F605AE"/>
    <w:rsid w:val="00F67197"/>
    <w:rsid w:val="00F705C5"/>
    <w:rsid w:val="00F90CC9"/>
    <w:rsid w:val="00F915CB"/>
    <w:rsid w:val="00F95E18"/>
    <w:rsid w:val="00FA44BA"/>
    <w:rsid w:val="00FA6510"/>
    <w:rsid w:val="00FC3B05"/>
    <w:rsid w:val="00FD2C1D"/>
    <w:rsid w:val="00FE741B"/>
    <w:rsid w:val="099044F7"/>
    <w:rsid w:val="2C041C52"/>
    <w:rsid w:val="401C0E4D"/>
    <w:rsid w:val="465F41FD"/>
    <w:rsid w:val="5ADD7E1E"/>
    <w:rsid w:val="5B9067AF"/>
    <w:rsid w:val="6A7004C2"/>
    <w:rsid w:val="7C77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9"/>
    <w:semiHidden/>
    <w:unhideWhenUsed/>
    <w:qFormat/>
    <w:uiPriority w:val="99"/>
    <w:pPr>
      <w:jc w:val="left"/>
    </w:pPr>
  </w:style>
  <w:style w:type="paragraph" w:styleId="6">
    <w:name w:val="Body Text"/>
    <w:basedOn w:val="1"/>
    <w:link w:val="3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  <w:lang w:eastAsia="en-US"/>
    </w:rPr>
  </w:style>
  <w:style w:type="paragraph" w:styleId="7">
    <w:name w:val="Balloon Text"/>
    <w:basedOn w:val="1"/>
    <w:link w:val="27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footnote text"/>
    <w:basedOn w:val="1"/>
    <w:link w:val="28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1">
    <w:name w:val="Title"/>
    <w:basedOn w:val="1"/>
    <w:next w:val="1"/>
    <w:link w:val="30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3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99"/>
  </w:style>
  <w:style w:type="character" w:styleId="16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styleId="17">
    <w:name w:val="footnote reference"/>
    <w:basedOn w:val="14"/>
    <w:semiHidden/>
    <w:unhideWhenUsed/>
    <w:qFormat/>
    <w:uiPriority w:val="99"/>
    <w:rPr>
      <w:vertAlign w:val="superscript"/>
    </w:rPr>
  </w:style>
  <w:style w:type="character" w:customStyle="1" w:styleId="18">
    <w:name w:val="页眉 字符"/>
    <w:basedOn w:val="14"/>
    <w:link w:val="9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8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2">
    <w:name w:val="标题 2 字符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3">
    <w:name w:val="标题 3 字符"/>
    <w:basedOn w:val="14"/>
    <w:link w:val="4"/>
    <w:qFormat/>
    <w:uiPriority w:val="9"/>
    <w:rPr>
      <w:b/>
      <w:bCs/>
      <w:sz w:val="32"/>
      <w:szCs w:val="32"/>
    </w:rPr>
  </w:style>
  <w:style w:type="paragraph" w:customStyle="1" w:styleId="24">
    <w:name w:val="段"/>
    <w:link w:val="25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  <w:style w:type="character" w:customStyle="1" w:styleId="25">
    <w:name w:val="段 Char"/>
    <w:basedOn w:val="14"/>
    <w:link w:val="24"/>
    <w:qFormat/>
    <w:locked/>
    <w:uiPriority w:val="99"/>
    <w:rPr>
      <w:rFonts w:ascii="宋体" w:hAnsi="Times New Roman" w:eastAsia="宋体" w:cs="宋体"/>
      <w:kern w:val="0"/>
      <w:szCs w:val="21"/>
    </w:rPr>
  </w:style>
  <w:style w:type="paragraph" w:customStyle="1" w:styleId="26">
    <w:name w:val="CM49"/>
    <w:basedOn w:val="1"/>
    <w:next w:val="1"/>
    <w:qFormat/>
    <w:uiPriority w:val="0"/>
    <w:pPr>
      <w:autoSpaceDE w:val="0"/>
      <w:autoSpaceDN w:val="0"/>
      <w:adjustRightInd w:val="0"/>
      <w:spacing w:after="305"/>
      <w:jc w:val="left"/>
    </w:pPr>
    <w:rPr>
      <w:rFonts w:ascii="宋体" w:hAnsi="Times New Roman" w:eastAsia="宋体" w:cs="宋体"/>
      <w:kern w:val="0"/>
      <w:sz w:val="24"/>
      <w:szCs w:val="24"/>
    </w:rPr>
  </w:style>
  <w:style w:type="character" w:customStyle="1" w:styleId="27">
    <w:name w:val="批注框文本 字符"/>
    <w:basedOn w:val="14"/>
    <w:link w:val="7"/>
    <w:semiHidden/>
    <w:qFormat/>
    <w:uiPriority w:val="99"/>
    <w:rPr>
      <w:sz w:val="18"/>
      <w:szCs w:val="18"/>
    </w:rPr>
  </w:style>
  <w:style w:type="character" w:customStyle="1" w:styleId="28">
    <w:name w:val="脚注文本 字符"/>
    <w:basedOn w:val="14"/>
    <w:link w:val="10"/>
    <w:semiHidden/>
    <w:qFormat/>
    <w:uiPriority w:val="99"/>
    <w:rPr>
      <w:sz w:val="18"/>
      <w:szCs w:val="18"/>
    </w:rPr>
  </w:style>
  <w:style w:type="character" w:customStyle="1" w:styleId="29">
    <w:name w:val="批注文字 字符"/>
    <w:basedOn w:val="14"/>
    <w:link w:val="5"/>
    <w:semiHidden/>
    <w:qFormat/>
    <w:uiPriority w:val="99"/>
  </w:style>
  <w:style w:type="character" w:customStyle="1" w:styleId="30">
    <w:name w:val="标题 字符"/>
    <w:basedOn w:val="14"/>
    <w:link w:val="11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31">
    <w:name w:val="正文文本 字符"/>
    <w:basedOn w:val="14"/>
    <w:link w:val="6"/>
    <w:qFormat/>
    <w:uiPriority w:val="1"/>
    <w:rPr>
      <w:rFonts w:ascii="宋体" w:hAnsi="宋体" w:eastAsia="宋体" w:cs="宋体"/>
      <w:kern w:val="0"/>
      <w:sz w:val="32"/>
      <w:szCs w:val="32"/>
      <w:lang w:eastAsia="en-US"/>
    </w:rPr>
  </w:style>
  <w:style w:type="paragraph" w:customStyle="1" w:styleId="32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2014-02-18T00:00:00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http://www.deepbbs.org</Company>
  <Pages>5</Pages>
  <Words>2041</Words>
  <Characters>2156</Characters>
  <Lines>76</Lines>
  <Paragraphs>102</Paragraphs>
  <TotalTime>11</TotalTime>
  <ScaleCrop>false</ScaleCrop>
  <LinksUpToDate>false</LinksUpToDate>
  <CharactersWithSpaces>2182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2014-02-18T02:12:00Z</dcterms:created>
  <dc:creator>deeplm</dc:creator>
  <cp:lastModifiedBy>momo</cp:lastModifiedBy>
  <cp:lastPrinted>2014-03-17T03:12:00Z</cp:lastPrinted>
  <dcterms:modified xsi:type="dcterms:W3CDTF">2026-07-13T07:57:46Z</dcterms:modified>
  <dc:title>认可程序说明和背景介绍</dc:title>
  <cp:revision>213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eyJoZGlkIjoiZTk2MjMzMDU2MGYxYTJiMTM5YWVmNmYxZWI1OTU3NzUiLCJ1c2VySWQiOiIxNTc4NjQxMzMwIn0=</vt:lpwstr>
  </property>
  <property fmtid="{D5CDD505-2E9C-101B-9397-08002B2CF9AE}" pid="3" name="KSOProductBuildVer">
    <vt:lpwstr>2052-12.1.0.25225</vt:lpwstr>
  </property>
  <property fmtid="{D5CDD505-2E9C-101B-9397-08002B2CF9AE}" pid="4" name="ICV">
    <vt:lpwstr>92E11124750B4986BB0337F331991277_12</vt:lpwstr>
  </property>
</Properties>
</file>